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35D6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EC8D0C1" w14:textId="77777777" w:rsidR="005A4C1A" w:rsidRPr="00C95888" w:rsidRDefault="005A4C1A" w:rsidP="009E44D5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88">
        <w:rPr>
          <w:rFonts w:ascii="Times New Roman" w:hAnsi="Times New Roman" w:cs="Times New Roman"/>
          <w:b/>
          <w:sz w:val="24"/>
          <w:szCs w:val="24"/>
        </w:rPr>
        <w:t>T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C95888">
        <w:rPr>
          <w:rFonts w:ascii="Times New Roman" w:hAnsi="Times New Roman" w:cs="Times New Roman"/>
          <w:b/>
          <w:sz w:val="24"/>
          <w:szCs w:val="24"/>
        </w:rPr>
        <w:t>:</w:t>
      </w:r>
      <w:r w:rsidRPr="00C958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Taylor Denison</w:t>
      </w:r>
      <w:r w:rsidRPr="00C95888">
        <w:rPr>
          <w:rFonts w:ascii="Times New Roman" w:hAnsi="Times New Roman" w:cs="Times New Roman"/>
          <w:sz w:val="24"/>
          <w:szCs w:val="24"/>
        </w:rPr>
        <w:t>, Attorney</w:t>
      </w:r>
    </w:p>
    <w:p w14:paraId="68FD598C" w14:textId="77777777" w:rsidR="005A4C1A" w:rsidRPr="00C95888" w:rsidRDefault="005A4C1A" w:rsidP="009E44D5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5888">
        <w:rPr>
          <w:rFonts w:ascii="Times New Roman" w:hAnsi="Times New Roman" w:cs="Times New Roman"/>
          <w:sz w:val="24"/>
          <w:szCs w:val="24"/>
        </w:rPr>
        <w:t>Legal Division</w:t>
      </w:r>
    </w:p>
    <w:p w14:paraId="5A613D1B" w14:textId="77777777" w:rsidR="005A4C1A" w:rsidRPr="00C95888" w:rsidRDefault="005A4C1A" w:rsidP="009E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720834" w14:textId="77777777" w:rsidR="005A4C1A" w:rsidRPr="00C95888" w:rsidRDefault="005A4C1A" w:rsidP="009E44D5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88">
        <w:rPr>
          <w:rFonts w:ascii="Times New Roman" w:hAnsi="Times New Roman" w:cs="Times New Roman"/>
          <w:b/>
          <w:sz w:val="24"/>
          <w:szCs w:val="24"/>
        </w:rPr>
        <w:t>F</w:t>
      </w:r>
      <w:r>
        <w:rPr>
          <w:rFonts w:ascii="Times New Roman" w:hAnsi="Times New Roman" w:cs="Times New Roman"/>
          <w:b/>
          <w:sz w:val="24"/>
          <w:szCs w:val="24"/>
        </w:rPr>
        <w:t>ROM</w:t>
      </w:r>
      <w:r w:rsidRPr="00C95888">
        <w:rPr>
          <w:rFonts w:ascii="Times New Roman" w:hAnsi="Times New Roman" w:cs="Times New Roman"/>
          <w:b/>
          <w:sz w:val="24"/>
          <w:szCs w:val="24"/>
        </w:rPr>
        <w:t>:</w:t>
      </w:r>
      <w:r w:rsidRPr="00C958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Leila Guerrero, Regulatory Accountant/Auditor</w:t>
      </w:r>
    </w:p>
    <w:p w14:paraId="34B19319" w14:textId="77777777" w:rsidR="005A4C1A" w:rsidRPr="00C95888" w:rsidRDefault="005A4C1A" w:rsidP="009E44D5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Rate </w:t>
      </w:r>
      <w:r w:rsidRPr="00C95888">
        <w:rPr>
          <w:rFonts w:ascii="Times New Roman" w:hAnsi="Times New Roman" w:cs="Times New Roman"/>
          <w:sz w:val="24"/>
          <w:szCs w:val="24"/>
        </w:rPr>
        <w:t>Regulation</w:t>
      </w:r>
      <w:r>
        <w:rPr>
          <w:rFonts w:ascii="Times New Roman" w:hAnsi="Times New Roman" w:cs="Times New Roman"/>
          <w:sz w:val="24"/>
          <w:szCs w:val="24"/>
        </w:rPr>
        <w:t xml:space="preserve"> Division</w:t>
      </w:r>
      <w:r w:rsidRPr="00C9588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65089E" w14:textId="77777777" w:rsidR="005A4C1A" w:rsidRPr="00C95888" w:rsidRDefault="005A4C1A" w:rsidP="009E44D5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62C0AE" w14:textId="7C7A671F" w:rsidR="00793532" w:rsidRPr="00793532" w:rsidRDefault="005A4C1A" w:rsidP="00793532">
      <w:pPr>
        <w:tabs>
          <w:tab w:val="left" w:pos="1440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95888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ATE</w:t>
      </w:r>
      <w:r w:rsidRPr="00C95888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C95888">
        <w:rPr>
          <w:rFonts w:ascii="Times New Roman" w:eastAsia="Times New Roman" w:hAnsi="Times New Roman" w:cs="Times New Roman"/>
          <w:sz w:val="24"/>
          <w:szCs w:val="24"/>
        </w:rPr>
        <w:tab/>
      </w:r>
      <w:r w:rsidR="003348CF">
        <w:rPr>
          <w:rFonts w:ascii="Times New Roman" w:eastAsia="Times New Roman" w:hAnsi="Times New Roman" w:cs="Times New Roman"/>
          <w:sz w:val="24"/>
          <w:szCs w:val="24"/>
        </w:rPr>
        <w:t>June 8</w:t>
      </w:r>
      <w:r w:rsidR="00C34164">
        <w:rPr>
          <w:rFonts w:ascii="Times New Roman" w:eastAsia="Times New Roman" w:hAnsi="Times New Roman" w:cs="Times New Roman"/>
          <w:sz w:val="24"/>
          <w:szCs w:val="24"/>
        </w:rPr>
        <w:t>, 2020</w:t>
      </w:r>
      <w:r w:rsidR="0079353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793532" w:rsidRPr="0079353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14:paraId="624606FB" w14:textId="77777777" w:rsidR="00793532" w:rsidRPr="00793532" w:rsidRDefault="00793532" w:rsidP="00793532">
      <w:pPr>
        <w:tabs>
          <w:tab w:val="left" w:pos="1440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452EF2BB" w14:textId="149CF921" w:rsidR="005A4C1A" w:rsidRPr="00C95888" w:rsidRDefault="005A4C1A" w:rsidP="00CC48A7">
      <w:pPr>
        <w:tabs>
          <w:tab w:val="left" w:pos="1440"/>
          <w:tab w:val="right" w:pos="936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5888">
        <w:rPr>
          <w:rFonts w:ascii="Times New Roman" w:eastAsia="Times New Roman" w:hAnsi="Times New Roman" w:cs="Times New Roman"/>
          <w:b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UBJECT</w:t>
      </w:r>
      <w:r w:rsidRPr="00C95888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C958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95888">
        <w:rPr>
          <w:rFonts w:ascii="Times New Roman" w:eastAsia="Times New Roman" w:hAnsi="Times New Roman" w:cs="Times New Roman"/>
          <w:b/>
          <w:sz w:val="24"/>
          <w:szCs w:val="24"/>
          <w:lang w:val="en-CA"/>
        </w:rPr>
        <w:fldChar w:fldCharType="begin"/>
      </w:r>
      <w:r w:rsidRPr="00C95888">
        <w:rPr>
          <w:rFonts w:ascii="Times New Roman" w:eastAsia="Times New Roman" w:hAnsi="Times New Roman" w:cs="Times New Roman"/>
          <w:b/>
          <w:sz w:val="24"/>
          <w:szCs w:val="24"/>
          <w:lang w:val="en-CA"/>
        </w:rPr>
        <w:instrText xml:space="preserve"> SEQ CHAPTER \h \r 1</w:instrText>
      </w:r>
      <w:r w:rsidRPr="00C95888">
        <w:rPr>
          <w:rFonts w:ascii="Times New Roman" w:eastAsia="Times New Roman" w:hAnsi="Times New Roman" w:cs="Times New Roman"/>
          <w:b/>
          <w:sz w:val="24"/>
          <w:szCs w:val="24"/>
          <w:lang w:val="en-CA"/>
        </w:rPr>
        <w:fldChar w:fldCharType="end"/>
      </w:r>
      <w:r w:rsidRPr="00C95888">
        <w:rPr>
          <w:rFonts w:ascii="Times New Roman" w:hAnsi="Times New Roman" w:cs="Times New Roman"/>
          <w:b/>
          <w:sz w:val="24"/>
          <w:szCs w:val="24"/>
        </w:rPr>
        <w:t xml:space="preserve">Docket No. </w:t>
      </w:r>
      <w:r>
        <w:rPr>
          <w:rFonts w:ascii="Times New Roman" w:hAnsi="Times New Roman" w:cs="Times New Roman"/>
          <w:b/>
          <w:sz w:val="24"/>
          <w:szCs w:val="24"/>
        </w:rPr>
        <w:t>50197</w:t>
      </w:r>
      <w:r w:rsidRPr="00C95888">
        <w:rPr>
          <w:rFonts w:ascii="Times New Roman" w:hAnsi="Times New Roman" w:cs="Times New Roman"/>
          <w:b/>
          <w:sz w:val="24"/>
          <w:szCs w:val="24"/>
        </w:rPr>
        <w:t>:</w:t>
      </w:r>
      <w:r w:rsidRPr="00C95888">
        <w:rPr>
          <w:rFonts w:ascii="Times New Roman" w:hAnsi="Times New Roman" w:cs="Times New Roman"/>
          <w:sz w:val="24"/>
          <w:szCs w:val="24"/>
        </w:rPr>
        <w:t xml:space="preserve"> </w:t>
      </w:r>
      <w:r w:rsidRPr="00C95888">
        <w:rPr>
          <w:rFonts w:ascii="Times New Roman" w:hAnsi="Times New Roman" w:cs="Times New Roman"/>
          <w:i/>
          <w:sz w:val="24"/>
          <w:szCs w:val="24"/>
        </w:rPr>
        <w:t xml:space="preserve">Application of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Timbercrest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Partners LLC </w:t>
      </w:r>
      <w:r w:rsidRPr="00C95888">
        <w:rPr>
          <w:rFonts w:ascii="Times New Roman" w:hAnsi="Times New Roman" w:cs="Times New Roman"/>
          <w:i/>
          <w:sz w:val="24"/>
          <w:szCs w:val="24"/>
        </w:rPr>
        <w:t>for Authority to Change Rates</w:t>
      </w:r>
    </w:p>
    <w:p w14:paraId="3522C92D" w14:textId="77777777" w:rsidR="005A4C1A" w:rsidRPr="00C95888" w:rsidRDefault="005A4C1A" w:rsidP="009E44D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8C83A4" w14:textId="562196C5" w:rsidR="005A4C1A" w:rsidRDefault="005A4C1A" w:rsidP="009E44D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95888">
        <w:rPr>
          <w:rFonts w:ascii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hAnsi="Times New Roman" w:cs="Times New Roman"/>
          <w:sz w:val="24"/>
          <w:szCs w:val="24"/>
        </w:rPr>
        <w:t>January 17, 2020</w:t>
      </w:r>
      <w:r w:rsidRPr="00C958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Timbercrest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Partners LLC</w:t>
      </w:r>
      <w:r w:rsidRPr="00C9588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Timbercrest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 </w:t>
      </w:r>
      <w:r w:rsidRPr="00C95888">
        <w:rPr>
          <w:rFonts w:ascii="Times New Roman" w:hAnsi="Times New Roman" w:cs="Times New Roman"/>
          <w:sz w:val="24"/>
          <w:szCs w:val="24"/>
        </w:rPr>
        <w:t>Applicant) filed a</w:t>
      </w:r>
      <w:r w:rsidR="000F00EF">
        <w:rPr>
          <w:rFonts w:ascii="Times New Roman" w:hAnsi="Times New Roman" w:cs="Times New Roman"/>
          <w:sz w:val="24"/>
          <w:szCs w:val="24"/>
        </w:rPr>
        <w:t xml:space="preserve"> Class C Rate Change</w:t>
      </w:r>
      <w:r w:rsidRPr="00C95888">
        <w:rPr>
          <w:rFonts w:ascii="Times New Roman" w:hAnsi="Times New Roman" w:cs="Times New Roman"/>
          <w:sz w:val="24"/>
          <w:szCs w:val="24"/>
        </w:rPr>
        <w:t xml:space="preserve"> </w:t>
      </w:r>
      <w:r w:rsidR="000F00EF">
        <w:rPr>
          <w:rFonts w:ascii="Times New Roman" w:hAnsi="Times New Roman" w:cs="Times New Roman"/>
          <w:sz w:val="24"/>
          <w:szCs w:val="24"/>
        </w:rPr>
        <w:t>A</w:t>
      </w:r>
      <w:r w:rsidRPr="00C95888">
        <w:rPr>
          <w:rFonts w:ascii="Times New Roman" w:hAnsi="Times New Roman" w:cs="Times New Roman"/>
          <w:sz w:val="24"/>
          <w:szCs w:val="24"/>
        </w:rPr>
        <w:t xml:space="preserve">pplication with the Public Utility Commission of Texas (Commission) </w:t>
      </w:r>
      <w:r w:rsidR="000F00EF">
        <w:rPr>
          <w:rFonts w:ascii="Times New Roman" w:hAnsi="Times New Roman" w:cs="Times New Roman"/>
          <w:sz w:val="24"/>
          <w:szCs w:val="24"/>
        </w:rPr>
        <w:t xml:space="preserve">for service provided </w:t>
      </w:r>
      <w:r w:rsidR="00F54FB2" w:rsidRPr="00C95888">
        <w:rPr>
          <w:rFonts w:ascii="Times New Roman" w:hAnsi="Times New Roman" w:cs="Times New Roman"/>
          <w:sz w:val="24"/>
          <w:szCs w:val="24"/>
        </w:rPr>
        <w:t>in</w:t>
      </w:r>
      <w:r w:rsidR="00F54FB2">
        <w:rPr>
          <w:rFonts w:ascii="Times New Roman" w:hAnsi="Times New Roman" w:cs="Times New Roman"/>
          <w:sz w:val="24"/>
          <w:szCs w:val="24"/>
        </w:rPr>
        <w:t xml:space="preserve"> Harris</w:t>
      </w:r>
      <w:r w:rsidR="00F54FB2" w:rsidRPr="00C95888">
        <w:rPr>
          <w:rFonts w:ascii="Times New Roman" w:hAnsi="Times New Roman" w:cs="Times New Roman"/>
          <w:sz w:val="24"/>
          <w:szCs w:val="24"/>
        </w:rPr>
        <w:t xml:space="preserve"> County </w:t>
      </w:r>
      <w:r w:rsidRPr="00C95888">
        <w:rPr>
          <w:rFonts w:ascii="Times New Roman" w:hAnsi="Times New Roman" w:cs="Times New Roman"/>
          <w:sz w:val="24"/>
          <w:szCs w:val="24"/>
        </w:rPr>
        <w:t>under Certificate of Convenience and Necessity (CCN) No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95888">
        <w:rPr>
          <w:rFonts w:ascii="Times New Roman" w:hAnsi="Times New Roman" w:cs="Times New Roman"/>
          <w:sz w:val="24"/>
          <w:szCs w:val="24"/>
        </w:rPr>
        <w:t>. 1</w:t>
      </w:r>
      <w:r>
        <w:rPr>
          <w:rFonts w:ascii="Times New Roman" w:hAnsi="Times New Roman" w:cs="Times New Roman"/>
          <w:sz w:val="24"/>
          <w:szCs w:val="24"/>
        </w:rPr>
        <w:t>1744 and 20</w:t>
      </w:r>
      <w:r w:rsidR="00A735C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83, for water and sewer respectively</w:t>
      </w:r>
      <w:r w:rsidRPr="00C95888">
        <w:rPr>
          <w:rFonts w:ascii="Times New Roman" w:hAnsi="Times New Roman" w:cs="Times New Roman"/>
          <w:sz w:val="24"/>
          <w:szCs w:val="24"/>
        </w:rPr>
        <w:t xml:space="preserve">.  An administrative review of the application and notice has been made pursuant to Texas Water Code (TWC) §§ </w:t>
      </w:r>
      <w:r>
        <w:rPr>
          <w:rFonts w:ascii="Times New Roman" w:hAnsi="Times New Roman" w:cs="Times New Roman"/>
          <w:sz w:val="24"/>
          <w:szCs w:val="24"/>
        </w:rPr>
        <w:t xml:space="preserve">13.1871, </w:t>
      </w:r>
      <w:r w:rsidRPr="00C95888">
        <w:rPr>
          <w:rFonts w:ascii="Times New Roman" w:hAnsi="Times New Roman" w:cs="Times New Roman"/>
          <w:sz w:val="24"/>
          <w:szCs w:val="24"/>
        </w:rPr>
        <w:t>13.1871</w:t>
      </w:r>
      <w:r>
        <w:rPr>
          <w:rFonts w:ascii="Times New Roman" w:hAnsi="Times New Roman" w:cs="Times New Roman"/>
          <w:sz w:val="24"/>
          <w:szCs w:val="24"/>
        </w:rPr>
        <w:t>5, 13.1872,</w:t>
      </w:r>
      <w:r w:rsidRPr="00C95888">
        <w:rPr>
          <w:rFonts w:ascii="Times New Roman" w:hAnsi="Times New Roman" w:cs="Times New Roman"/>
          <w:sz w:val="24"/>
          <w:szCs w:val="24"/>
        </w:rPr>
        <w:t xml:space="preserve"> and 16 Texas Administrative Code (TAC) §§ 24.25 through 24.33.</w:t>
      </w:r>
    </w:p>
    <w:p w14:paraId="33A2D836" w14:textId="2FBD874B" w:rsidR="005A4C1A" w:rsidRPr="001C297F" w:rsidRDefault="005A4C1A" w:rsidP="009E44D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297F">
        <w:rPr>
          <w:rFonts w:ascii="Times New Roman" w:hAnsi="Times New Roman" w:cs="Times New Roman"/>
          <w:sz w:val="24"/>
          <w:szCs w:val="24"/>
        </w:rPr>
        <w:t>Timbercrest</w:t>
      </w:r>
      <w:proofErr w:type="spellEnd"/>
      <w:r w:rsidRPr="001C297F">
        <w:rPr>
          <w:rFonts w:ascii="Times New Roman" w:hAnsi="Times New Roman" w:cs="Times New Roman"/>
          <w:sz w:val="24"/>
          <w:szCs w:val="24"/>
        </w:rPr>
        <w:t xml:space="preserve"> provides water and sewer utility service to less than 500 connections and is considered a Class D utility in Texas.  However, </w:t>
      </w:r>
      <w:proofErr w:type="spellStart"/>
      <w:r w:rsidRPr="001C297F">
        <w:rPr>
          <w:rFonts w:ascii="Times New Roman" w:hAnsi="Times New Roman" w:cs="Times New Roman"/>
          <w:sz w:val="24"/>
          <w:szCs w:val="24"/>
        </w:rPr>
        <w:t>Timbercrest</w:t>
      </w:r>
      <w:proofErr w:type="spellEnd"/>
      <w:r w:rsidRPr="001C297F">
        <w:rPr>
          <w:rFonts w:ascii="Times New Roman" w:hAnsi="Times New Roman" w:cs="Times New Roman"/>
          <w:sz w:val="24"/>
          <w:szCs w:val="24"/>
        </w:rPr>
        <w:t xml:space="preserve"> filed </w:t>
      </w:r>
      <w:r w:rsidR="000F00EF">
        <w:rPr>
          <w:rFonts w:ascii="Times New Roman" w:hAnsi="Times New Roman" w:cs="Times New Roman"/>
          <w:sz w:val="24"/>
          <w:szCs w:val="24"/>
        </w:rPr>
        <w:t>using</w:t>
      </w:r>
      <w:r w:rsidRPr="001C297F">
        <w:rPr>
          <w:rFonts w:ascii="Times New Roman" w:hAnsi="Times New Roman" w:cs="Times New Roman"/>
          <w:sz w:val="24"/>
          <w:szCs w:val="24"/>
        </w:rPr>
        <w:t xml:space="preserve"> </w:t>
      </w:r>
      <w:r w:rsidR="000F00EF">
        <w:rPr>
          <w:rFonts w:ascii="Times New Roman" w:hAnsi="Times New Roman" w:cs="Times New Roman"/>
          <w:sz w:val="24"/>
          <w:szCs w:val="24"/>
        </w:rPr>
        <w:t xml:space="preserve">the </w:t>
      </w:r>
      <w:r w:rsidRPr="001C297F">
        <w:rPr>
          <w:rFonts w:ascii="Times New Roman" w:hAnsi="Times New Roman" w:cs="Times New Roman"/>
          <w:sz w:val="24"/>
          <w:szCs w:val="24"/>
        </w:rPr>
        <w:t xml:space="preserve">Class C rate change application </w:t>
      </w:r>
      <w:r w:rsidR="000F00EF">
        <w:rPr>
          <w:rFonts w:ascii="Times New Roman" w:hAnsi="Times New Roman" w:cs="Times New Roman"/>
          <w:sz w:val="24"/>
          <w:szCs w:val="24"/>
        </w:rPr>
        <w:t>due to the size of the increase</w:t>
      </w:r>
      <w:r w:rsidRPr="001C297F">
        <w:rPr>
          <w:rFonts w:ascii="Times New Roman" w:hAnsi="Times New Roman" w:cs="Times New Roman"/>
          <w:sz w:val="24"/>
          <w:szCs w:val="24"/>
        </w:rPr>
        <w:t>.</w:t>
      </w:r>
    </w:p>
    <w:p w14:paraId="0CC365DB" w14:textId="14FC24EF" w:rsidR="0044027C" w:rsidRDefault="00FC3339" w:rsidP="00FC333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B80504">
        <w:rPr>
          <w:rFonts w:ascii="Times New Roman" w:hAnsi="Times New Roman" w:cs="Times New Roman"/>
          <w:sz w:val="24"/>
          <w:szCs w:val="24"/>
        </w:rPr>
        <w:t>After</w:t>
      </w:r>
      <w:r w:rsidR="004B4015">
        <w:rPr>
          <w:rFonts w:ascii="Times New Roman" w:hAnsi="Times New Roman" w:cs="Times New Roman"/>
          <w:sz w:val="24"/>
          <w:szCs w:val="24"/>
        </w:rPr>
        <w:t xml:space="preserve"> </w:t>
      </w:r>
      <w:r w:rsidRPr="00B80504">
        <w:rPr>
          <w:rFonts w:ascii="Times New Roman" w:hAnsi="Times New Roman" w:cs="Times New Roman"/>
          <w:sz w:val="24"/>
          <w:szCs w:val="24"/>
        </w:rPr>
        <w:t>review of the application and</w:t>
      </w:r>
      <w:r w:rsidR="001D67D6">
        <w:rPr>
          <w:rFonts w:ascii="Times New Roman" w:hAnsi="Times New Roman" w:cs="Times New Roman"/>
          <w:sz w:val="24"/>
          <w:szCs w:val="24"/>
        </w:rPr>
        <w:t xml:space="preserve"> the</w:t>
      </w:r>
      <w:r w:rsidRPr="00B80504">
        <w:rPr>
          <w:rFonts w:ascii="Times New Roman" w:hAnsi="Times New Roman" w:cs="Times New Roman"/>
          <w:sz w:val="24"/>
          <w:szCs w:val="24"/>
        </w:rPr>
        <w:t xml:space="preserve"> supplemental information filed by the Applicant</w:t>
      </w:r>
      <w:r w:rsidR="00B80504" w:rsidRPr="00B80504">
        <w:rPr>
          <w:rFonts w:ascii="Times New Roman" w:hAnsi="Times New Roman" w:cs="Times New Roman"/>
          <w:sz w:val="24"/>
          <w:szCs w:val="24"/>
        </w:rPr>
        <w:t xml:space="preserve"> on April 16, 2020</w:t>
      </w:r>
      <w:r w:rsidRPr="00B80504">
        <w:rPr>
          <w:rFonts w:ascii="Times New Roman" w:hAnsi="Times New Roman" w:cs="Times New Roman"/>
          <w:sz w:val="24"/>
          <w:szCs w:val="24"/>
        </w:rPr>
        <w:t>, Staff recommends</w:t>
      </w:r>
      <w:r w:rsidR="009F2018">
        <w:rPr>
          <w:rFonts w:ascii="Times New Roman" w:hAnsi="Times New Roman" w:cs="Times New Roman"/>
          <w:sz w:val="24"/>
          <w:szCs w:val="24"/>
        </w:rPr>
        <w:t xml:space="preserve"> that</w:t>
      </w:r>
      <w:r w:rsidRPr="00B80504">
        <w:rPr>
          <w:rFonts w:ascii="Times New Roman" w:hAnsi="Times New Roman" w:cs="Times New Roman"/>
          <w:sz w:val="24"/>
          <w:szCs w:val="24"/>
        </w:rPr>
        <w:t xml:space="preserve"> the application</w:t>
      </w:r>
      <w:r w:rsidR="002314A6">
        <w:rPr>
          <w:rFonts w:ascii="Times New Roman" w:hAnsi="Times New Roman" w:cs="Times New Roman"/>
          <w:sz w:val="24"/>
          <w:szCs w:val="24"/>
        </w:rPr>
        <w:t xml:space="preserve"> </w:t>
      </w:r>
      <w:r w:rsidRPr="00B80504">
        <w:rPr>
          <w:rFonts w:ascii="Times New Roman" w:hAnsi="Times New Roman" w:cs="Times New Roman"/>
          <w:sz w:val="24"/>
          <w:szCs w:val="24"/>
        </w:rPr>
        <w:t xml:space="preserve">be found administratively complete and </w:t>
      </w:r>
      <w:proofErr w:type="gramStart"/>
      <w:r w:rsidRPr="00B80504">
        <w:rPr>
          <w:rFonts w:ascii="Times New Roman" w:hAnsi="Times New Roman" w:cs="Times New Roman"/>
          <w:sz w:val="24"/>
          <w:szCs w:val="24"/>
        </w:rPr>
        <w:t>sufficient</w:t>
      </w:r>
      <w:proofErr w:type="gramEnd"/>
      <w:r w:rsidRPr="00B80504">
        <w:rPr>
          <w:rFonts w:ascii="Times New Roman" w:hAnsi="Times New Roman" w:cs="Times New Roman"/>
          <w:sz w:val="24"/>
          <w:szCs w:val="24"/>
        </w:rPr>
        <w:t xml:space="preserve"> pursuant to 16 TAC §§ 24.8(a) and 24.27(d).</w:t>
      </w:r>
      <w:r w:rsidR="001D67D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02D8ECC" w14:textId="52E8F015" w:rsidR="004B4015" w:rsidRPr="007B54BB" w:rsidRDefault="008753C5" w:rsidP="00BE76FC">
      <w:pPr>
        <w:jc w:val="both"/>
        <w:rPr>
          <w:color w:val="FF0000"/>
        </w:rPr>
      </w:pPr>
      <w:r w:rsidRPr="00C50258">
        <w:rPr>
          <w:rFonts w:ascii="Times New Roman" w:hAnsi="Times New Roman" w:cs="Times New Roman"/>
          <w:sz w:val="24"/>
          <w:szCs w:val="24"/>
        </w:rPr>
        <w:t xml:space="preserve">In addition, </w:t>
      </w:r>
      <w:r w:rsidR="009F2018" w:rsidRPr="00C50258">
        <w:rPr>
          <w:rFonts w:ascii="Times New Roman" w:hAnsi="Times New Roman" w:cs="Times New Roman"/>
          <w:sz w:val="24"/>
          <w:szCs w:val="24"/>
        </w:rPr>
        <w:t xml:space="preserve">the Applicant provided notice of the proposed rate change </w:t>
      </w:r>
      <w:r w:rsidR="00547109" w:rsidRPr="00C50258">
        <w:rPr>
          <w:rFonts w:ascii="Times New Roman" w:hAnsi="Times New Roman" w:cs="Times New Roman"/>
          <w:sz w:val="24"/>
          <w:szCs w:val="24"/>
        </w:rPr>
        <w:t>to the ratepayers on January 15, 2020, with an effective date of February 7, 2020, which is less than the required 35 days.</w:t>
      </w:r>
      <w:r w:rsidR="003348CF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Pr="00C50258">
        <w:rPr>
          <w:rFonts w:ascii="Times New Roman" w:hAnsi="Times New Roman" w:cs="Times New Roman"/>
          <w:sz w:val="24"/>
          <w:szCs w:val="24"/>
        </w:rPr>
        <w:t xml:space="preserve"> </w:t>
      </w:r>
      <w:r w:rsidR="00547109" w:rsidRPr="00C50258">
        <w:rPr>
          <w:rFonts w:ascii="Times New Roman" w:hAnsi="Times New Roman" w:cs="Times New Roman"/>
          <w:sz w:val="24"/>
          <w:szCs w:val="24"/>
        </w:rPr>
        <w:t xml:space="preserve"> </w:t>
      </w:r>
      <w:r w:rsidRPr="00C50258">
        <w:rPr>
          <w:rFonts w:ascii="Times New Roman" w:hAnsi="Times New Roman" w:cs="Times New Roman"/>
          <w:sz w:val="24"/>
          <w:szCs w:val="24"/>
        </w:rPr>
        <w:t xml:space="preserve">Staff recommends suspension of the proposed effective date.  </w:t>
      </w:r>
      <w:r w:rsidRPr="00F54FB2">
        <w:rPr>
          <w:rFonts w:ascii="Times New Roman" w:hAnsi="Times New Roman" w:cs="Times New Roman"/>
          <w:sz w:val="24"/>
          <w:szCs w:val="24"/>
        </w:rPr>
        <w:t xml:space="preserve">Furthermore, </w:t>
      </w:r>
      <w:r w:rsidR="001D67D6" w:rsidRPr="00F54FB2">
        <w:rPr>
          <w:rFonts w:ascii="Times New Roman" w:hAnsi="Times New Roman" w:cs="Times New Roman"/>
          <w:sz w:val="24"/>
          <w:szCs w:val="24"/>
        </w:rPr>
        <w:t xml:space="preserve">Staff recommends that the Commission order the Applicant to provide notice to </w:t>
      </w:r>
      <w:r w:rsidR="004B4015" w:rsidRPr="00F54FB2">
        <w:rPr>
          <w:rFonts w:ascii="Times New Roman" w:hAnsi="Times New Roman" w:cs="Times New Roman"/>
          <w:sz w:val="24"/>
          <w:szCs w:val="24"/>
        </w:rPr>
        <w:t>all</w:t>
      </w:r>
      <w:r w:rsidR="0004519D">
        <w:rPr>
          <w:rFonts w:ascii="Times New Roman" w:hAnsi="Times New Roman" w:cs="Times New Roman"/>
          <w:sz w:val="24"/>
          <w:szCs w:val="24"/>
        </w:rPr>
        <w:t xml:space="preserve"> the</w:t>
      </w:r>
      <w:r w:rsidR="004B4015" w:rsidRPr="00F54FB2">
        <w:rPr>
          <w:rFonts w:ascii="Times New Roman" w:hAnsi="Times New Roman" w:cs="Times New Roman"/>
          <w:sz w:val="24"/>
          <w:szCs w:val="24"/>
        </w:rPr>
        <w:t xml:space="preserve"> affected </w:t>
      </w:r>
      <w:r w:rsidR="001D67D6" w:rsidRPr="00F54FB2">
        <w:rPr>
          <w:rFonts w:ascii="Times New Roman" w:hAnsi="Times New Roman" w:cs="Times New Roman"/>
          <w:sz w:val="24"/>
          <w:szCs w:val="24"/>
        </w:rPr>
        <w:t>ratepayers with</w:t>
      </w:r>
      <w:r w:rsidR="0044027C" w:rsidRPr="00F54FB2">
        <w:rPr>
          <w:rFonts w:ascii="Times New Roman" w:hAnsi="Times New Roman" w:cs="Times New Roman"/>
          <w:sz w:val="24"/>
          <w:szCs w:val="24"/>
        </w:rPr>
        <w:t xml:space="preserve"> an updated </w:t>
      </w:r>
      <w:r w:rsidR="001D67D6" w:rsidRPr="00F54FB2">
        <w:rPr>
          <w:rFonts w:ascii="Times New Roman" w:hAnsi="Times New Roman" w:cs="Times New Roman"/>
          <w:sz w:val="24"/>
          <w:szCs w:val="24"/>
        </w:rPr>
        <w:t>effective date</w:t>
      </w:r>
      <w:r w:rsidR="0044027C" w:rsidRPr="00F54FB2">
        <w:rPr>
          <w:rFonts w:ascii="Times New Roman" w:hAnsi="Times New Roman" w:cs="Times New Roman"/>
          <w:sz w:val="24"/>
          <w:szCs w:val="24"/>
        </w:rPr>
        <w:t xml:space="preserve"> to s</w:t>
      </w:r>
      <w:r w:rsidR="001D67D6" w:rsidRPr="00F54FB2">
        <w:rPr>
          <w:rFonts w:ascii="Times New Roman" w:hAnsi="Times New Roman" w:cs="Times New Roman"/>
          <w:sz w:val="24"/>
          <w:szCs w:val="24"/>
        </w:rPr>
        <w:t>atisfy the notice requirements in 16</w:t>
      </w:r>
      <w:r w:rsidR="0044027C" w:rsidRPr="00F54FB2">
        <w:rPr>
          <w:rFonts w:ascii="Times New Roman" w:hAnsi="Times New Roman" w:cs="Times New Roman"/>
          <w:sz w:val="24"/>
          <w:szCs w:val="24"/>
        </w:rPr>
        <w:t xml:space="preserve"> </w:t>
      </w:r>
      <w:r w:rsidR="001D67D6" w:rsidRPr="00F54FB2">
        <w:rPr>
          <w:rFonts w:ascii="Times New Roman" w:hAnsi="Times New Roman" w:cs="Times New Roman"/>
          <w:sz w:val="24"/>
          <w:szCs w:val="24"/>
        </w:rPr>
        <w:t xml:space="preserve">TAC </w:t>
      </w:r>
      <w:r w:rsidR="0004519D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D67D6" w:rsidRPr="00F54FB2">
        <w:rPr>
          <w:rFonts w:ascii="Times New Roman" w:hAnsi="Times New Roman" w:cs="Times New Roman"/>
          <w:sz w:val="24"/>
          <w:szCs w:val="24"/>
        </w:rPr>
        <w:t xml:space="preserve">§ 24.27(d) at least 35 days before the effective date of the proposed </w:t>
      </w:r>
      <w:r w:rsidR="0044027C" w:rsidRPr="00F54FB2">
        <w:rPr>
          <w:rFonts w:ascii="Times New Roman" w:hAnsi="Times New Roman" w:cs="Times New Roman"/>
          <w:sz w:val="24"/>
          <w:szCs w:val="24"/>
        </w:rPr>
        <w:t xml:space="preserve">rate </w:t>
      </w:r>
      <w:r w:rsidR="001D67D6" w:rsidRPr="00F54FB2">
        <w:rPr>
          <w:rFonts w:ascii="Times New Roman" w:hAnsi="Times New Roman" w:cs="Times New Roman"/>
          <w:sz w:val="24"/>
          <w:szCs w:val="24"/>
        </w:rPr>
        <w:t>change</w:t>
      </w:r>
      <w:r w:rsidR="0044027C" w:rsidRPr="00F54FB2">
        <w:rPr>
          <w:rFonts w:ascii="Times New Roman" w:hAnsi="Times New Roman" w:cs="Times New Roman"/>
          <w:sz w:val="24"/>
          <w:szCs w:val="24"/>
        </w:rPr>
        <w:t>.</w:t>
      </w:r>
      <w:r w:rsidR="00FC3339" w:rsidRPr="00F54FB2">
        <w:rPr>
          <w:rFonts w:ascii="Times New Roman" w:hAnsi="Times New Roman" w:cs="Times New Roman"/>
          <w:sz w:val="24"/>
          <w:szCs w:val="24"/>
        </w:rPr>
        <w:t xml:space="preserve">  </w:t>
      </w:r>
      <w:r w:rsidR="00F54FB2">
        <w:rPr>
          <w:rFonts w:ascii="Times New Roman" w:hAnsi="Times New Roman" w:cs="Times New Roman"/>
          <w:sz w:val="24"/>
          <w:szCs w:val="24"/>
        </w:rPr>
        <w:t>Finally, Staff recommends that the Commission order the Applicant to refund any increases charged for services rendered prior to the Commission-approved effective date.</w:t>
      </w:r>
    </w:p>
    <w:sectPr w:rsidR="004B4015" w:rsidRPr="007B54BB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ACB47" w14:textId="77777777" w:rsidR="00A61677" w:rsidRDefault="00A61677">
      <w:r>
        <w:separator/>
      </w:r>
    </w:p>
  </w:endnote>
  <w:endnote w:type="continuationSeparator" w:id="0">
    <w:p w14:paraId="58A5D7F0" w14:textId="77777777" w:rsidR="00A61677" w:rsidRDefault="00A61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1C072" w14:textId="77777777" w:rsidR="00A61677" w:rsidRDefault="00A61677">
      <w:r>
        <w:separator/>
      </w:r>
    </w:p>
  </w:footnote>
  <w:footnote w:type="continuationSeparator" w:id="0">
    <w:p w14:paraId="1863AE60" w14:textId="77777777" w:rsidR="00A61677" w:rsidRDefault="00A61677">
      <w:r>
        <w:continuationSeparator/>
      </w:r>
    </w:p>
  </w:footnote>
  <w:footnote w:id="1">
    <w:p w14:paraId="7930DB9A" w14:textId="16835223" w:rsidR="003348CF" w:rsidRPr="00BE76FC" w:rsidRDefault="003348CF" w:rsidP="00BE76FC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BE76FC">
        <w:rPr>
          <w:rStyle w:val="FootnoteReference"/>
          <w:rFonts w:ascii="Times New Roman" w:hAnsi="Times New Roman" w:cs="Times New Roman"/>
        </w:rPr>
        <w:footnoteRef/>
      </w:r>
      <w:r w:rsidRPr="00BE76FC">
        <w:rPr>
          <w:rFonts w:ascii="Times New Roman" w:hAnsi="Times New Roman" w:cs="Times New Roman"/>
        </w:rPr>
        <w:t xml:space="preserve"> “In order to change rates, a Class B or C utility, or a Class D utility filing under TWC § 13.1872(c)(2), must comply with the following requirements at least 35 days before the effective date of the proposed change.” 16 TAC § 24.27(d).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44679" w14:textId="77777777" w:rsidR="00DA36E8" w:rsidRPr="00C50258" w:rsidRDefault="00DA36E8">
    <w:pPr>
      <w:pStyle w:val="Header"/>
      <w:jc w:val="center"/>
      <w:rPr>
        <w:rFonts w:ascii="Times New Roman" w:hAnsi="Times New Roman" w:cs="Times New Roman"/>
        <w:b/>
        <w:i/>
        <w:sz w:val="38"/>
      </w:rPr>
    </w:pPr>
    <w:r w:rsidRPr="00C50258">
      <w:rPr>
        <w:rFonts w:ascii="Times New Roman" w:hAnsi="Times New Roman" w:cs="Times New Roman"/>
        <w:b/>
        <w:i/>
        <w:sz w:val="38"/>
      </w:rPr>
      <w:t>Public Utility Commission of Texas</w:t>
    </w:r>
  </w:p>
  <w:p w14:paraId="09905E56" w14:textId="77777777" w:rsidR="00DA36E8" w:rsidRPr="00C5025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rFonts w:ascii="Times New Roman" w:hAnsi="Times New Roman" w:cs="Times New Roman"/>
        <w:b/>
        <w:sz w:val="12"/>
      </w:rPr>
    </w:pPr>
    <w:r w:rsidRPr="00C50258">
      <w:rPr>
        <w:rFonts w:ascii="Times New Roman" w:hAnsi="Times New Roman" w:cs="Times New Roman"/>
        <w:b/>
        <w:sz w:val="12"/>
      </w:rPr>
      <w:tab/>
    </w:r>
    <w:r w:rsidRPr="00C50258">
      <w:rPr>
        <w:rFonts w:ascii="Times New Roman" w:hAnsi="Times New Roman" w:cs="Times New Roman"/>
        <w:b/>
        <w:sz w:val="12"/>
        <w:u w:val="single"/>
      </w:rPr>
      <w:tab/>
    </w:r>
  </w:p>
  <w:p w14:paraId="027FBC92" w14:textId="77777777" w:rsidR="00DA36E8" w:rsidRPr="00C50258" w:rsidRDefault="00DA36E8">
    <w:pPr>
      <w:pStyle w:val="Header"/>
      <w:tabs>
        <w:tab w:val="left" w:pos="1980"/>
        <w:tab w:val="left" w:pos="6750"/>
      </w:tabs>
      <w:jc w:val="center"/>
      <w:rPr>
        <w:rFonts w:ascii="Times New Roman" w:hAnsi="Times New Roman" w:cs="Times New Roman"/>
        <w:b/>
        <w:sz w:val="38"/>
      </w:rPr>
    </w:pPr>
    <w:r w:rsidRPr="00C50258">
      <w:rPr>
        <w:rFonts w:ascii="Times New Roman" w:hAnsi="Times New Roman" w:cs="Times New Roman"/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EBD91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15778"/>
    <w:multiLevelType w:val="hybridMultilevel"/>
    <w:tmpl w:val="CDF85C7C"/>
    <w:lvl w:ilvl="0" w:tplc="605660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2F80A6A"/>
    <w:multiLevelType w:val="hybridMultilevel"/>
    <w:tmpl w:val="32B2687A"/>
    <w:lvl w:ilvl="0" w:tplc="2ECA4F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B337128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96D61"/>
    <w:multiLevelType w:val="hybridMultilevel"/>
    <w:tmpl w:val="88CEAC5E"/>
    <w:lvl w:ilvl="0" w:tplc="8BACCD0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6D"/>
    <w:rsid w:val="0004519D"/>
    <w:rsid w:val="00047DCB"/>
    <w:rsid w:val="000874B3"/>
    <w:rsid w:val="000C276D"/>
    <w:rsid w:val="000F00EF"/>
    <w:rsid w:val="001C297F"/>
    <w:rsid w:val="001D67D6"/>
    <w:rsid w:val="001D7521"/>
    <w:rsid w:val="002314A6"/>
    <w:rsid w:val="002869D7"/>
    <w:rsid w:val="003348CF"/>
    <w:rsid w:val="0044027C"/>
    <w:rsid w:val="0048524C"/>
    <w:rsid w:val="004B4015"/>
    <w:rsid w:val="004F431A"/>
    <w:rsid w:val="00547109"/>
    <w:rsid w:val="005543C3"/>
    <w:rsid w:val="00563CC2"/>
    <w:rsid w:val="005A250B"/>
    <w:rsid w:val="005A4C1A"/>
    <w:rsid w:val="005C1804"/>
    <w:rsid w:val="005D473E"/>
    <w:rsid w:val="0076655D"/>
    <w:rsid w:val="00793532"/>
    <w:rsid w:val="0079498E"/>
    <w:rsid w:val="007B54BB"/>
    <w:rsid w:val="007E4EE0"/>
    <w:rsid w:val="008262FF"/>
    <w:rsid w:val="008753C5"/>
    <w:rsid w:val="008A246B"/>
    <w:rsid w:val="008E50D8"/>
    <w:rsid w:val="0091083F"/>
    <w:rsid w:val="00937380"/>
    <w:rsid w:val="0097736C"/>
    <w:rsid w:val="009E44D5"/>
    <w:rsid w:val="009F2018"/>
    <w:rsid w:val="00A61677"/>
    <w:rsid w:val="00A735C1"/>
    <w:rsid w:val="00A7691E"/>
    <w:rsid w:val="00A9128B"/>
    <w:rsid w:val="00B01A73"/>
    <w:rsid w:val="00B80504"/>
    <w:rsid w:val="00BC2D5A"/>
    <w:rsid w:val="00BE7354"/>
    <w:rsid w:val="00BE76FC"/>
    <w:rsid w:val="00C024AA"/>
    <w:rsid w:val="00C34164"/>
    <w:rsid w:val="00C50258"/>
    <w:rsid w:val="00C650AB"/>
    <w:rsid w:val="00CB056F"/>
    <w:rsid w:val="00CC48A7"/>
    <w:rsid w:val="00CF0859"/>
    <w:rsid w:val="00CF7A71"/>
    <w:rsid w:val="00DA36E8"/>
    <w:rsid w:val="00E26BE4"/>
    <w:rsid w:val="00EA5690"/>
    <w:rsid w:val="00F54FB2"/>
    <w:rsid w:val="00FA65BC"/>
    <w:rsid w:val="00FC3339"/>
    <w:rsid w:val="00FC57AD"/>
    <w:rsid w:val="00FD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94A4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4C1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A4C1A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4C1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4C1A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5A4C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C444F-AE9D-4C61-A751-2C2A2C601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2020-06-08T14:49:00Z</dcterms:created>
  <dcterms:modified xsi:type="dcterms:W3CDTF">2020-06-08T14:49:00Z</dcterms:modified>
</cp:coreProperties>
</file>